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color w:val="38761d"/>
          <w:highlight w:val="white"/>
        </w:rPr>
      </w:pPr>
      <w:r w:rsidDel="00000000" w:rsidR="00000000" w:rsidRPr="00000000">
        <w:rPr>
          <w:rFonts w:ascii="Arial" w:cs="Arial" w:eastAsia="Arial" w:hAnsi="Arial"/>
          <w:b w:val="1"/>
          <w:i w:val="1"/>
          <w:color w:val="38761d"/>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color w:val="38761d"/>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color w:val="38761d"/>
          <w:sz w:val="20"/>
          <w:szCs w:val="20"/>
          <w:highlight w:val="white"/>
        </w:rPr>
      </w:pPr>
      <w:r w:rsidDel="00000000" w:rsidR="00000000" w:rsidRPr="00000000">
        <w:rPr>
          <w:rFonts w:ascii="Arial" w:cs="Arial" w:eastAsia="Arial" w:hAnsi="Arial"/>
          <w:b w:val="1"/>
          <w:i w:val="1"/>
          <w:color w:val="38761d"/>
          <w:sz w:val="20"/>
          <w:szCs w:val="20"/>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color w:val="38761d"/>
          <w:sz w:val="20"/>
          <w:szCs w:val="20"/>
          <w:highlight w:val="white"/>
        </w:rPr>
      </w:pPr>
      <w:r w:rsidDel="00000000" w:rsidR="00000000" w:rsidRPr="00000000">
        <w:rPr>
          <w:rFonts w:ascii="Arial" w:cs="Arial" w:eastAsia="Arial" w:hAnsi="Arial"/>
          <w:b w:val="1"/>
          <w:i w:val="1"/>
          <w:color w:val="38761d"/>
          <w:sz w:val="20"/>
          <w:szCs w:val="20"/>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Committing to assisting professionals in creating positive school cultures that foster a sense of belonging.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Area Representative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Purpose: To represent the WACA delegates in a similar geographic area and to give them information about WACA and recruit for the conference.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Attends all Board of Directors meetings.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Communicates with delegates within their designated area a</w:t>
      </w:r>
      <w:r w:rsidDel="00000000" w:rsidR="00000000" w:rsidRPr="00000000">
        <w:rPr>
          <w:rFonts w:ascii="Arial" w:cs="Arial" w:eastAsia="Arial" w:hAnsi="Arial"/>
          <w:i w:val="0"/>
          <w:smallCaps w:val="0"/>
          <w:strike w:val="0"/>
          <w:color w:val="000000"/>
          <w:u w:val="single"/>
          <w:shd w:fill="auto" w:val="clear"/>
          <w:vertAlign w:val="baseline"/>
          <w:rtl w:val="0"/>
        </w:rPr>
        <w:t xml:space="preserve"> minimum</w:t>
      </w:r>
      <w:r w:rsidDel="00000000" w:rsidR="00000000" w:rsidRPr="00000000">
        <w:rPr>
          <w:rFonts w:ascii="Arial" w:cs="Arial" w:eastAsia="Arial" w:hAnsi="Arial"/>
          <w:i w:val="0"/>
          <w:smallCaps w:val="0"/>
          <w:strike w:val="0"/>
          <w:color w:val="000000"/>
          <w:u w:val="none"/>
          <w:shd w:fill="auto" w:val="clear"/>
          <w:vertAlign w:val="baseline"/>
          <w:rtl w:val="0"/>
        </w:rPr>
        <w:t xml:space="preserve"> of four (4) times per school year. </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rPr>
      </w:pPr>
      <w:r w:rsidDel="00000000" w:rsidR="00000000" w:rsidRPr="00000000">
        <w:rPr>
          <w:rFonts w:ascii="Arial" w:cs="Arial" w:eastAsia="Arial" w:hAnsi="Arial"/>
          <w:rtl w:val="0"/>
        </w:rPr>
        <w:t xml:space="preserve">Minimum: April/May, September, January, March - before conference </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Maintains a current contact list for the respective area. </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Includes the</w:t>
      </w:r>
      <w:r w:rsidDel="00000000" w:rsidR="00000000" w:rsidRPr="00000000">
        <w:rPr>
          <w:rFonts w:ascii="Arial" w:cs="Arial" w:eastAsia="Arial" w:hAnsi="Arial"/>
          <w:i w:val="0"/>
          <w:smallCaps w:val="0"/>
          <w:strike w:val="0"/>
          <w:color w:val="000000"/>
          <w:u w:val="none"/>
          <w:shd w:fill="auto" w:val="clear"/>
          <w:vertAlign w:val="baseline"/>
          <w:rtl w:val="0"/>
        </w:rPr>
        <w:t xml:space="preserve"> Board of Directors</w:t>
      </w:r>
      <w:r w:rsidDel="00000000" w:rsidR="00000000" w:rsidRPr="00000000">
        <w:rPr>
          <w:rFonts w:ascii="Arial" w:cs="Arial" w:eastAsia="Arial" w:hAnsi="Arial"/>
          <w:i w:val="0"/>
          <w:smallCaps w:val="0"/>
          <w:strike w:val="0"/>
          <w:color w:val="000000"/>
          <w:u w:val="none"/>
          <w:shd w:fill="auto" w:val="clear"/>
          <w:vertAlign w:val="baseline"/>
          <w:rtl w:val="0"/>
        </w:rPr>
        <w:t xml:space="preserve"> in your area plus the Presidential Trio in the communication with area delegates.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Actively participates in the planning, implementation and evaluation of the Annual Conference. </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Collaborate with other Area Reps </w:t>
      </w:r>
      <w:r w:rsidDel="00000000" w:rsidR="00000000" w:rsidRPr="00000000">
        <w:rPr>
          <w:rFonts w:ascii="Arial" w:cs="Arial" w:eastAsia="Arial" w:hAnsi="Arial"/>
          <w:rtl w:val="0"/>
        </w:rPr>
        <w:t xml:space="preserve">regarding the content for Area meetings</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i w:val="0"/>
          <w:smallCaps w:val="0"/>
          <w:strike w:val="0"/>
          <w:color w:val="000000"/>
          <w:u w:val="none"/>
          <w:shd w:fill="auto" w:val="clear"/>
          <w:vertAlign w:val="baseline"/>
          <w:rtl w:val="0"/>
        </w:rPr>
        <w:t xml:space="preserve">acilitates Area Meetings schedules during the conference. </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Advertises and promotes the conference and recruits delegates from their designated area.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Coordinates and documents check-in of delegates from their designated area.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Make seek opportunities to join</w:t>
      </w:r>
      <w:r w:rsidDel="00000000" w:rsidR="00000000" w:rsidRPr="00000000">
        <w:rPr>
          <w:rFonts w:ascii="Arial" w:cs="Arial" w:eastAsia="Arial" w:hAnsi="Arial"/>
          <w:i w:val="0"/>
          <w:smallCaps w:val="0"/>
          <w:strike w:val="0"/>
          <w:color w:val="000000"/>
          <w:u w:val="none"/>
          <w:shd w:fill="auto" w:val="clear"/>
          <w:vertAlign w:val="baseline"/>
          <w:rtl w:val="0"/>
        </w:rPr>
        <w:t xml:space="preserve"> other committees within the structure of the Association Bylaws</w:t>
      </w:r>
      <w:r w:rsidDel="00000000" w:rsidR="00000000" w:rsidRPr="00000000">
        <w:rPr>
          <w:rFonts w:ascii="Arial" w:cs="Arial" w:eastAsia="Arial" w:hAnsi="Arial"/>
          <w:rtl w:val="0"/>
        </w:rPr>
        <w:t xml:space="preserve">, as needed.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b w:val="1"/>
        </w:rPr>
      </w:pPr>
      <w:r w:rsidDel="00000000" w:rsidR="00000000" w:rsidRPr="00000000">
        <w:rPr>
          <w:rFonts w:ascii="Arial" w:cs="Arial" w:eastAsia="Arial" w:hAnsi="Arial"/>
          <w:b w:val="1"/>
          <w:rtl w:val="0"/>
        </w:rPr>
        <w:t xml:space="preserve">Area Rep Coordinator</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Checking that Area Reps send out messages.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Send messages to the Webmaster.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Facilitates planning of area meetings at Annual Conference.</w:t>
      </w:r>
    </w:p>
    <w:p w:rsidR="00000000" w:rsidDel="00000000" w:rsidP="00000000" w:rsidRDefault="00000000" w:rsidRPr="00000000" w14:paraId="0000001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Works with the Communications Team on the current conference communication schedule</w:t>
      </w:r>
    </w:p>
    <w:p w:rsidR="00000000" w:rsidDel="00000000" w:rsidP="00000000" w:rsidRDefault="00000000" w:rsidRPr="00000000" w14:paraId="0000001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Coordinate four quarterly Area Rep emails per year with the Communications Team and President..</w:t>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Manage the area meetings at Exec Board meetings in September and January.</w:t>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Make sure agendas and supplies are ready for the conference.</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Serves on the Professional Development Committee with President Elect, High School and Middle School Representatives.</w:t>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and evaluation of the Annual Conference. </w:t>
      </w:r>
    </w:p>
    <w:p w:rsidR="00000000" w:rsidDel="00000000" w:rsidP="00000000" w:rsidRDefault="00000000" w:rsidRPr="00000000" w14:paraId="0000002B">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Presents breakout session, as needed. </w:t>
      </w:r>
    </w:p>
    <w:p w:rsidR="00000000" w:rsidDel="00000000" w:rsidP="00000000" w:rsidRDefault="00000000" w:rsidRPr="00000000" w14:paraId="0000002C">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Participates in the set-up logistics, decorations, and/or other Annual Conference specific committees, as needed. </w:t>
      </w:r>
    </w:p>
    <w:p w:rsidR="00000000" w:rsidDel="00000000" w:rsidP="00000000" w:rsidRDefault="00000000" w:rsidRPr="00000000" w14:paraId="0000002D">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Volunteers for duties at the Annual Conference as needed to fill in the Responsibility Matrix. </w:t>
      </w:r>
    </w:p>
    <w:p w:rsidR="00000000" w:rsidDel="00000000" w:rsidP="00000000" w:rsidRDefault="00000000" w:rsidRPr="00000000" w14:paraId="0000002E">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2F">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Presenters. </w:t>
      </w:r>
    </w:p>
    <w:p w:rsidR="00000000" w:rsidDel="00000000" w:rsidP="00000000" w:rsidRDefault="00000000" w:rsidRPr="00000000" w14:paraId="00000030">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Partners. </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2Lgn9uA/2NjoHbnJYvIOKfjodg==">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2021-09-25T23:41:00Z</dcterms:created>
  <dc:creator>Norman Sanford</dc:creator>
</cp:coreProperties>
</file>